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附件</w:t>
      </w:r>
      <w:r>
        <w:rPr>
          <w:rFonts w:ascii="仿宋_GB2312" w:eastAsia="仿宋_GB2312" w:cs="仿宋_GB2312"/>
          <w:b/>
          <w:kern w:val="0"/>
          <w:sz w:val="32"/>
          <w:szCs w:val="32"/>
        </w:rPr>
        <w:t>2</w:t>
      </w:r>
    </w:p>
    <w:tbl>
      <w:tblPr>
        <w:tblStyle w:val="3"/>
        <w:tblpPr w:leftFromText="180" w:rightFromText="180" w:vertAnchor="page" w:horzAnchor="margin" w:tblpY="3463"/>
        <w:tblW w:w="144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662"/>
        <w:gridCol w:w="4253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实验室名称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建设（依托）单位名称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实验室负责人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绍兴市平原河网地区环境安全重点实验室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绍兴文理学院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绍兴市心脑血管疾病康复技术创新与应用重点实验室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绍兴市人民医院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郭航远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绍兴市汽车底盘制动及转向重点实验室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浙江万安科技股份有限公司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苑庆泽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绍兴市纺织化学品研发及测试重点实验室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绍兴市质量技术监督检测院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鲍国芳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绍兴市功能性与高附加值纺织品重点实验室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浙江工业职业技术学院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祝良荣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绍兴市特种设备金属结构评价与腐蚀防护重点实验室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绍兴市特种设备检测院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杜锡勇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绍兴市智慧社会智能监测防控重点实验室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浙江越秀外国语学院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绍兴市植物纤维功能材料重点实验室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浙江农林大学暨阳学院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姚文斌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eastAsia="方正小标宋简体" w:cs="仿宋_GB2312"/>
          <w:kern w:val="0"/>
          <w:sz w:val="44"/>
          <w:szCs w:val="32"/>
        </w:rPr>
        <w:t>2020年度市级重点实验室培育建设名单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0FE"/>
    <w:multiLevelType w:val="multilevel"/>
    <w:tmpl w:val="746050F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E40A5"/>
    <w:rsid w:val="2FB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2020-10-23T00:35:00Z</dcterms:created>
  <dc:creator>Administrator</dc:creator>
  <cp:lastModifiedBy>Administrator</cp:lastModifiedBy>
  <dcterms:modified xsi:type="dcterms:W3CDTF">2020-10-23T00:35:49Z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