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kern w:val="2"/>
          <w:sz w:val="40"/>
          <w:szCs w:val="40"/>
          <w:lang w:val="en-US" w:eastAsia="zh-CN" w:bidi="ar"/>
        </w:rPr>
      </w:pPr>
      <w:bookmarkStart w:id="0" w:name="_GoBack"/>
      <w:r>
        <w:rPr>
          <w:rFonts w:hint="eastAsia" w:asciiTheme="minorEastAsia" w:hAnsiTheme="minorEastAsia" w:eastAsiaTheme="minorEastAsia" w:cstheme="minorEastAsia"/>
          <w:b/>
          <w:bCs/>
          <w:kern w:val="2"/>
          <w:sz w:val="40"/>
          <w:szCs w:val="40"/>
          <w:lang w:val="en-US" w:eastAsia="zh-CN" w:bidi="ar"/>
        </w:rPr>
        <w:t>关于加大力度鼓励绍兴企业在海外设立研发中心</w:t>
      </w:r>
    </w:p>
    <w:bookmarkEnd w:id="0"/>
    <w:p>
      <w:pPr>
        <w:jc w:val="center"/>
        <w:rPr>
          <w:rFonts w:hint="eastAsia" w:asciiTheme="minorEastAsia" w:hAnsiTheme="minorEastAsia" w:eastAsiaTheme="minorEastAsia" w:cstheme="minorEastAsia"/>
          <w:b/>
          <w:bCs/>
          <w:kern w:val="2"/>
          <w:sz w:val="40"/>
          <w:szCs w:val="40"/>
          <w:lang w:val="en-US" w:eastAsia="zh-CN" w:bidi="ar"/>
        </w:rPr>
      </w:pP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企业的竞争力最终体现在人力资源的竞争，绍兴市委市政府出台了大量的招才引智的政策和文件，为绍兴企业中长期的人才战略产生了积极的影响，而企业的目前最缺的还是技术研发类的核心人员，企业要提高产品的研发速度、产品差异化及附加值，更加需要依托高层次研发团队，由于绍兴地处杭州市和宁波市中间区域，很容易收到这两个大型城市的虹吸效应，尤其是研发类的高层次人员更加受制于工作和生活环境的影响，在这些方面绍兴相对还是处于劣势，所以需要打开另外一扇研发类人员导入的大门，改变传统的人才导入思维模式，变人才为我所有为人才为我所用。</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建议和意见：</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1、鼓励企业在中国境外并购或新设研发类机构，利用他国成熟的研发团队并培养应届的大学生；</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2、鼓励企业境外的研发团队和国内的研发团队进行互动和学习，即强化的技术融合也帮助推动了国家一带一路的战略；</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3、政府设立企业境外并购或新设研发机构专项引导基金，帮助和引导企业在境外设立研发机构；</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4、在境外绍兴企业或绍兴境外研发机构的密集区域设立政府服务机构或委托机构，在法务方面和法规制度方面提供帮助；</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5、对于绍兴在国外并购和新设研发机构的企业，除研发费用正常加级抵扣之外，按照每年实际的投入情况和实际产出的成果另外进行奖励。</w:t>
      </w:r>
    </w:p>
    <w:p>
      <w:pPr>
        <w:keepNext w:val="0"/>
        <w:keepLines w:val="0"/>
        <w:widowControl/>
        <w:suppressLineNumbers w:val="0"/>
        <w:jc w:val="left"/>
      </w:pPr>
      <w:r>
        <w:rPr>
          <w:rFonts w:hint="eastAsia" w:ascii="宋体" w:hAnsi="宋体" w:eastAsia="宋体" w:cs="Times New Roman"/>
          <w:kern w:val="2"/>
          <w:sz w:val="28"/>
          <w:szCs w:val="28"/>
          <w:lang w:val="en-US" w:eastAsia="zh-CN" w:bidi="ar"/>
        </w:rPr>
        <w:t>目前各地都在想尽办法进行人才的拼抢，市委市政府也都投入了大量的人力和财力，希望这种方式的转变能够改变人才导流的成本和稳定性。对绍兴企业后续的发展提供积极的意义。</w:t>
      </w:r>
    </w:p>
    <w:p>
      <w:pPr>
        <w:jc w:val="center"/>
        <w:rPr>
          <w:rFonts w:hint="eastAsia" w:asciiTheme="minorEastAsia" w:hAnsiTheme="minorEastAsia" w:eastAsiaTheme="minorEastAsia" w:cstheme="minorEastAsia"/>
          <w:b/>
          <w:bCs/>
          <w:kern w:val="2"/>
          <w:sz w:val="40"/>
          <w:szCs w:val="40"/>
          <w:lang w:val="en-US" w:eastAsia="zh-CN" w:bidi="ar"/>
        </w:rPr>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2767B"/>
    <w:rsid w:val="3D227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2020-08-12T08:22:00Z</dcterms:created>
  <dc:creator>Administrator</dc:creator>
  <cp:lastModifiedBy>Administrator</cp:lastModifiedBy>
  <dcterms:modified xsi:type="dcterms:W3CDTF">2020-08-12T08:23:28Z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