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附件：</w:t>
      </w:r>
    </w:p>
    <w:p>
      <w:pPr>
        <w:spacing w:before="156" w:beforeLines="50" w:after="156" w:afterLines="50"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/>
          <w:bCs/>
          <w:sz w:val="44"/>
          <w:szCs w:val="44"/>
        </w:rPr>
        <w:t>绍兴市产业创新服务综合体考核评价指标</w:t>
      </w:r>
      <w:bookmarkEnd w:id="0"/>
    </w:p>
    <w:tbl>
      <w:tblPr>
        <w:tblStyle w:val="4"/>
        <w:tblW w:w="13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7"/>
        <w:gridCol w:w="10467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指标类别</w:t>
            </w:r>
          </w:p>
        </w:tc>
        <w:tc>
          <w:tcPr>
            <w:tcW w:w="104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指标名称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标准分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一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建设推进（30分）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有具体的建设方案（2分），并按建设方案全面组织实施（8分）。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有健全的工作机制，有明确的资金配套保障，资金使用规范（3分）；政府部门协同推进、最多跑一处、数字化服务能力较好（2分）；建设运营单位职责明晰，有专业化运营团队和市场化运营机制（3分）；龙头企业起到带动作用（1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建有相对集中的办事服务大厅（窗口），有明确的服务事项和收费标准（3分）；有全面展示综合体概况并提供产业展览、展示服务的展厅（4分）；按照认定的名称，有明显、大气的综合体标识（2分）；有全面宣传综合体所属产业、相关企业及产品的视频（2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二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创新能力（25分）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累计引进大院名校共建创新载体个数（3分），当年新引进大院名校共建创新载体个数（2分）；累计集聚服务机构个数（3分），当年集聚服务机构数同比增长率（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分）；累计集聚大型科研仪器设备数（</w:t>
            </w:r>
            <w:r>
              <w:rPr>
                <w:rFonts w:ascii="仿宋_GB2312" w:hAnsi="Times New Roman" w:eastAsia="仿宋_GB2312"/>
                <w:sz w:val="24"/>
              </w:rPr>
              <w:t>2</w:t>
            </w:r>
            <w:r>
              <w:rPr>
                <w:rFonts w:hint="eastAsia" w:ascii="仿宋_GB2312" w:hAnsi="Times New Roman" w:eastAsia="仿宋_GB2312"/>
                <w:sz w:val="24"/>
              </w:rPr>
              <w:t>分），累计集聚大型科研仪器设备数同比增长率（1分）。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当年综合体及其集聚的服务机构中的人才数量</w:t>
            </w:r>
            <w:r>
              <w:rPr>
                <w:rFonts w:hint="eastAsia" w:ascii="仿宋_GB2312" w:hAnsi="Times New Roman" w:eastAsia="仿宋_GB2312"/>
                <w:sz w:val="24"/>
              </w:rPr>
              <w:t>（2分），当年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综合体及其集聚的服务机构中的人才数量</w:t>
            </w:r>
            <w:r>
              <w:rPr>
                <w:rFonts w:hint="eastAsia" w:ascii="仿宋_GB2312" w:hAnsi="Times New Roman" w:eastAsia="仿宋_GB2312"/>
                <w:sz w:val="24"/>
              </w:rPr>
              <w:t>同比增长率（1分）；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当年综合体及其集聚的服务机构中的高层次（博士学位、高级职称）人才的比例</w:t>
            </w:r>
            <w:r>
              <w:rPr>
                <w:rFonts w:hint="eastAsia" w:ascii="仿宋_GB2312" w:hAnsi="Times New Roman" w:eastAsia="仿宋_GB2312"/>
                <w:sz w:val="24"/>
              </w:rPr>
              <w:t>（2分），高层次人才比例较上年增长百分点（1分）。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当年组织实施关键共性技术攻关项目数（3分），当年组织实施关键共性技术攻关项目数同比增长率（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分），当年通过技术攻关取得知识产权（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发明专利、实用新型专利、软件著作权、农业新品种、新药证书</w:t>
            </w:r>
            <w:r>
              <w:rPr>
                <w:rFonts w:hint="eastAsia" w:ascii="仿宋_GB2312" w:hAnsi="Times New Roman" w:eastAsia="仿宋_GB2312"/>
                <w:sz w:val="24"/>
              </w:rPr>
              <w:t>）数量（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三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服务能力（25分）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服务企业家次数（3分），当年服务企业家次数同比增长率（1分）；当年服务企业技术合同数（3分），当年服务企业技术合同数同比增长率（1分）；当年技术交易项目数（1分），当年技术交易项目金额（2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当年大型科研仪器设备开放共享服务次数（3分），当年大型科研仪器设备开放共享服务次数同比增长率（1分）；当年争取科技创新基金金额（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分），当年争取科技创新基金金额同比增长率（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产业集群中高新技术企业、科技型中小企业当年度贷款余额（2分），当年度贷款余额同比增长率（1分）；所在区、县（市）当年创新券使用额（2分），创新券使用额同比增长率（1分）。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四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产业竞争力（20分）</w:t>
            </w: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产业集群当年研发投入强度（</w:t>
            </w:r>
            <w:r>
              <w:rPr>
                <w:rFonts w:ascii="仿宋_GB2312" w:hAnsi="Times New Roman" w:eastAsia="仿宋_GB2312"/>
                <w:sz w:val="24"/>
              </w:rPr>
              <w:t>3</w:t>
            </w:r>
            <w:r>
              <w:rPr>
                <w:rFonts w:hint="eastAsia" w:ascii="仿宋_GB2312" w:hAnsi="Times New Roman" w:eastAsia="仿宋_GB2312"/>
                <w:sz w:val="24"/>
              </w:rPr>
              <w:t>分），产业集群研发投入强度同比增长率（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分）；产业集群全员劳动生产率（</w:t>
            </w:r>
            <w:r>
              <w:rPr>
                <w:rFonts w:ascii="仿宋_GB2312" w:hAnsi="Times New Roman" w:eastAsia="仿宋_GB2312"/>
                <w:sz w:val="24"/>
              </w:rPr>
              <w:t>1</w:t>
            </w:r>
            <w:r>
              <w:rPr>
                <w:rFonts w:hint="eastAsia" w:ascii="仿宋_GB2312" w:hAnsi="Times New Roman" w:eastAsia="仿宋_GB2312"/>
                <w:sz w:val="24"/>
              </w:rPr>
              <w:t>分），产业集群全员劳动生产率同比增长率（1分）。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当年新增国家高新技术企业数占比（4分），当年新增省级科技型中小企业数占比（2分）。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0467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当年该区域本级财政科技拨款（1分），当年该区域本级财政科技拨款同比增长率（1分）；当年企业研发费用加计扣除额（3分），当年企业研发费用加计扣除额较上年增长（3分）。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五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加分项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（累计</w:t>
            </w:r>
            <w:r>
              <w:rPr>
                <w:rFonts w:ascii="仿宋_GB2312" w:hAnsi="Times New Roman" w:eastAsia="仿宋_GB2312"/>
                <w:sz w:val="24"/>
              </w:rPr>
              <w:t>不超过</w:t>
            </w:r>
            <w:r>
              <w:rPr>
                <w:rFonts w:hint="eastAsia" w:ascii="仿宋_GB2312" w:hAnsi="Times New Roman" w:eastAsia="仿宋_GB2312"/>
                <w:sz w:val="24"/>
              </w:rPr>
              <w:t>10分）</w:t>
            </w:r>
          </w:p>
        </w:tc>
        <w:tc>
          <w:tcPr>
            <w:tcW w:w="1160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对综合体建设工作有重要创新举措且成效明显，起到较好示范作用的（加1-3分）；获得中央</w:t>
            </w:r>
            <w:r>
              <w:rPr>
                <w:rFonts w:ascii="仿宋_GB2312" w:hAnsi="Times New Roman" w:eastAsia="仿宋_GB2312"/>
                <w:sz w:val="24"/>
              </w:rPr>
              <w:t>、省</w:t>
            </w:r>
            <w:r>
              <w:rPr>
                <w:rFonts w:hint="eastAsia" w:ascii="仿宋_GB2312" w:hAnsi="Times New Roman" w:eastAsia="仿宋_GB2312"/>
                <w:sz w:val="24"/>
              </w:rPr>
              <w:t>、市级以上领导肯定性批示的（分别</w:t>
            </w:r>
            <w:r>
              <w:rPr>
                <w:rFonts w:ascii="仿宋_GB2312" w:hAnsi="Times New Roman" w:eastAsia="仿宋_GB2312"/>
                <w:sz w:val="24"/>
              </w:rPr>
              <w:t>加</w:t>
            </w:r>
            <w:r>
              <w:rPr>
                <w:rFonts w:hint="eastAsia" w:ascii="仿宋_GB2312" w:hAnsi="Times New Roman" w:eastAsia="仿宋_GB2312"/>
                <w:sz w:val="24"/>
              </w:rPr>
              <w:t>8分</w:t>
            </w:r>
            <w:r>
              <w:rPr>
                <w:rFonts w:ascii="仿宋_GB2312" w:hAnsi="Times New Roman" w:eastAsia="仿宋_GB2312"/>
                <w:sz w:val="24"/>
              </w:rPr>
              <w:t>、3分、1分</w:t>
            </w:r>
            <w:r>
              <w:rPr>
                <w:rFonts w:hint="eastAsia" w:ascii="仿宋_GB2312" w:hAnsi="Times New Roman" w:eastAsia="仿宋_GB2312"/>
                <w:sz w:val="24"/>
              </w:rPr>
              <w:t>）；综合体建设经验在省内外推广应用的</w:t>
            </w:r>
            <w:r>
              <w:rPr>
                <w:rFonts w:ascii="仿宋_GB2312" w:hAnsi="Times New Roman" w:eastAsia="仿宋_GB2312"/>
                <w:sz w:val="24"/>
              </w:rPr>
              <w:t>（</w:t>
            </w:r>
            <w:r>
              <w:rPr>
                <w:rFonts w:hint="eastAsia" w:ascii="仿宋_GB2312" w:hAnsi="Times New Roman" w:eastAsia="仿宋_GB2312"/>
                <w:sz w:val="24"/>
              </w:rPr>
              <w:t>加1-3分</w:t>
            </w:r>
            <w:r>
              <w:rPr>
                <w:rFonts w:ascii="仿宋_GB2312" w:hAnsi="Times New Roman" w:eastAsia="仿宋_GB2312"/>
                <w:sz w:val="24"/>
              </w:rPr>
              <w:t>）</w:t>
            </w:r>
            <w:r>
              <w:rPr>
                <w:rFonts w:hint="eastAsia" w:ascii="仿宋_GB2312" w:hAnsi="Times New Roman" w:eastAsia="仿宋_GB2312"/>
                <w:sz w:val="24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0820"/>
    <w:rsid w:val="717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2020-08-21T07:14:00Z</dcterms:created>
  <dc:creator>Administrator</dc:creator>
  <cp:lastModifiedBy>Administrator</cp:lastModifiedBy>
  <dcterms:modified xsi:type="dcterms:W3CDTF">2020-08-21T07:15:05Z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